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BB" w:rsidRPr="004C35BB" w:rsidRDefault="00EC456D" w:rsidP="00EA7226">
      <w:pPr>
        <w:bidi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(عناية تمريضية- مراقب صحي -)</w:t>
      </w:r>
    </w:p>
    <w:p w:rsidR="00813CA8" w:rsidRDefault="006E5165" w:rsidP="00813CA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 xml:space="preserve">BT3- </w:t>
      </w:r>
      <w:r w:rsidR="00EC456D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(60→40periodes</w:t>
      </w:r>
      <w:proofErr w:type="gramStart"/>
      <w:r w:rsidR="00EC456D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)</w:t>
      </w:r>
      <w:r w:rsidRPr="00FB359F">
        <w:rPr>
          <w:rFonts w:asciiTheme="majorHAnsi" w:hAnsiTheme="majorHAnsi"/>
          <w:b/>
          <w:bCs/>
          <w:sz w:val="32"/>
          <w:szCs w:val="32"/>
          <w:u w:val="single"/>
          <w:lang w:val="fr-FR"/>
        </w:rPr>
        <w:t>–</w:t>
      </w:r>
      <w:proofErr w:type="spellStart"/>
      <w:proofErr w:type="gram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2020</w:t>
      </w:r>
    </w:p>
    <w:p w:rsidR="004C35BB" w:rsidRPr="004C35BB" w:rsidRDefault="004C35BB" w:rsidP="004C35BB">
      <w:pPr>
        <w:spacing w:after="0" w:line="240" w:lineRule="auto"/>
        <w:jc w:val="center"/>
        <w:rPr>
          <w:rFonts w:cstheme="minorHAnsi"/>
          <w:sz w:val="28"/>
          <w:szCs w:val="28"/>
          <w:lang w:val="fr-FR" w:eastAsia="fr-FR"/>
        </w:rPr>
      </w:pPr>
      <w:r w:rsidRPr="004C35BB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Chapitre-1-</w:t>
      </w:r>
      <w:r w:rsidRPr="004C35BB">
        <w:rPr>
          <w:rFonts w:cstheme="minorHAnsi"/>
          <w:sz w:val="28"/>
          <w:szCs w:val="28"/>
          <w:lang w:val="fr-FR" w:eastAsia="fr-FR"/>
        </w:rPr>
        <w:t>Onde mécanique et ses applications</w:t>
      </w:r>
    </w:p>
    <w:tbl>
      <w:tblPr>
        <w:tblStyle w:val="TableGrid"/>
        <w:tblpPr w:leftFromText="180" w:rightFromText="180" w:vertAnchor="page" w:horzAnchor="margin" w:tblpXSpec="center" w:tblpY="1306"/>
        <w:tblW w:w="14601" w:type="dxa"/>
        <w:tblLook w:val="04A0"/>
      </w:tblPr>
      <w:tblGrid>
        <w:gridCol w:w="4928"/>
        <w:gridCol w:w="5103"/>
        <w:gridCol w:w="4570"/>
      </w:tblGrid>
      <w:tr w:rsidR="00813CA8" w:rsidTr="00813CA8">
        <w:tc>
          <w:tcPr>
            <w:tcW w:w="4928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103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570" w:type="dxa"/>
          </w:tcPr>
          <w:p w:rsidR="00813CA8" w:rsidRPr="00451F7B" w:rsidRDefault="00813CA8" w:rsidP="00813CA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13CA8" w:rsidRPr="00EA7226" w:rsidTr="00813CA8">
        <w:tc>
          <w:tcPr>
            <w:tcW w:w="4928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l’onde mécanique 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Connaitre la propriété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Connaitre que le son est dû à la propagation de vibration mécanique 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Connaitre les formules de la vitesse du son dans les trois états de la matière</w:t>
            </w:r>
          </w:p>
          <w:p w:rsidR="00813CA8" w:rsidRPr="00F75B82" w:rsidRDefault="00813CA8" w:rsidP="00813CA8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103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Identifier la caractéristique de l’onde mécanique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Distinguer les types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Expliquer expérimentalement que le son a besoin d’un milieu matériel  pour se propager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 w:eastAsia="fr-FR"/>
              </w:rPr>
              <w:t>Caractériser les sons audibles et inaudibles</w:t>
            </w:r>
          </w:p>
          <w:p w:rsidR="00813CA8" w:rsidRPr="00F75B82" w:rsidRDefault="00813CA8" w:rsidP="00813CA8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570" w:type="dxa"/>
          </w:tcPr>
          <w:p w:rsidR="00813CA8" w:rsidRPr="00F75B82" w:rsidRDefault="00813CA8" w:rsidP="00813CA8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Représenter l’onde mécanique</w:t>
            </w:r>
          </w:p>
          <w:p w:rsidR="00813CA8" w:rsidRDefault="00813CA8" w:rsidP="00813CA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Appliquer les relations entre les caractéristiques de l’onde mécanique</w:t>
            </w:r>
          </w:p>
          <w:p w:rsidR="00813CA8" w:rsidRPr="00C76703" w:rsidRDefault="00813CA8" w:rsidP="00813CA8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Réciter les facteurs de vitesse du son  </w:t>
            </w:r>
          </w:p>
          <w:p w:rsidR="00813CA8" w:rsidRPr="00F75B82" w:rsidRDefault="00813CA8" w:rsidP="00813CA8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:rsidR="004C35BB" w:rsidRDefault="004C35BB" w:rsidP="004C35B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EC456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4C35BB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35BB" w:rsidRDefault="004C35BB" w:rsidP="00EC456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E705D9" w:rsidRPr="00813CA8" w:rsidRDefault="00813CA8" w:rsidP="00813CA8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813CA8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Chapitre-2</w:t>
      </w:r>
      <w:r w:rsidRPr="00813CA8">
        <w:rPr>
          <w:rFonts w:asciiTheme="majorBidi" w:hAnsiTheme="majorBidi" w:cstheme="majorBidi"/>
          <w:sz w:val="28"/>
          <w:szCs w:val="28"/>
          <w:lang w:val="fr-FR"/>
        </w:rPr>
        <w:t>-Onde électromagnétique</w:t>
      </w:r>
    </w:p>
    <w:p w:rsidR="00E705D9" w:rsidRDefault="00E705D9" w:rsidP="00E705D9">
      <w:pPr>
        <w:spacing w:after="0" w:line="240" w:lineRule="auto"/>
        <w:jc w:val="center"/>
        <w:rPr>
          <w:rFonts w:cstheme="minorHAnsi"/>
          <w:sz w:val="32"/>
          <w:szCs w:val="32"/>
          <w:lang w:val="fr-FR" w:eastAsia="fr-FR"/>
        </w:rPr>
      </w:pPr>
    </w:p>
    <w:p w:rsidR="006E5165" w:rsidRDefault="006E5165" w:rsidP="00A92244">
      <w:pPr>
        <w:spacing w:after="0" w:line="240" w:lineRule="auto"/>
        <w:jc w:val="center"/>
        <w:rPr>
          <w:rFonts w:cstheme="minorHAnsi"/>
          <w:sz w:val="32"/>
          <w:szCs w:val="32"/>
          <w:lang w:val="fr-FR" w:eastAsia="fr-FR"/>
        </w:rPr>
      </w:pPr>
    </w:p>
    <w:tbl>
      <w:tblPr>
        <w:tblStyle w:val="TableGrid"/>
        <w:tblpPr w:leftFromText="180" w:rightFromText="180" w:vertAnchor="page" w:horzAnchor="margin" w:tblpXSpec="center" w:tblpY="3892"/>
        <w:tblW w:w="14992" w:type="dxa"/>
        <w:tblLook w:val="04A0"/>
      </w:tblPr>
      <w:tblGrid>
        <w:gridCol w:w="5104"/>
        <w:gridCol w:w="3827"/>
        <w:gridCol w:w="6061"/>
      </w:tblGrid>
      <w:tr w:rsidR="00E705D9" w:rsidTr="00E705D9">
        <w:tc>
          <w:tcPr>
            <w:tcW w:w="5104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827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061" w:type="dxa"/>
          </w:tcPr>
          <w:p w:rsidR="00E705D9" w:rsidRPr="00797AC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705D9" w:rsidRPr="00EA7226" w:rsidTr="00E705D9">
        <w:tc>
          <w:tcPr>
            <w:tcW w:w="5104" w:type="dxa"/>
          </w:tcPr>
          <w:p w:rsidR="00E705D9" w:rsidRPr="00062B2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Définir l’onde électromagnétique </w:t>
            </w:r>
          </w:p>
          <w:p w:rsidR="00E705D9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Connaitre la nature du rayonnement thermique </w:t>
            </w:r>
          </w:p>
          <w:p w:rsidR="00E705D9" w:rsidRPr="00A92244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Citer les propriétés et les caractéristiques du faisceau laser</w:t>
            </w:r>
          </w:p>
          <w:p w:rsidR="00E705D9" w:rsidRPr="00062B22" w:rsidRDefault="00E705D9" w:rsidP="00E705D9">
            <w:pPr>
              <w:rPr>
                <w:rFonts w:asciiTheme="majorBidi" w:hAnsiTheme="majorBidi" w:cstheme="majorBidi"/>
                <w:lang w:val="fr-FR"/>
              </w:rPr>
            </w:pPr>
          </w:p>
          <w:p w:rsidR="00E705D9" w:rsidRPr="00062B22" w:rsidRDefault="00E705D9" w:rsidP="00E705D9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827" w:type="dxa"/>
          </w:tcPr>
          <w:p w:rsidR="00E705D9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Identifier le spectre électromagnétique</w:t>
            </w:r>
          </w:p>
          <w:p w:rsidR="00E705D9" w:rsidRPr="00062B2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Identifier la lumière du laser</w:t>
            </w:r>
          </w:p>
          <w:p w:rsidR="00E705D9" w:rsidRPr="00062B22" w:rsidRDefault="00E705D9" w:rsidP="00E705D9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061" w:type="dxa"/>
          </w:tcPr>
          <w:p w:rsidR="00E705D9" w:rsidRPr="00062B22" w:rsidRDefault="00E705D9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Classifier les ondes électromagnétiques selon leurs fréquences </w:t>
            </w:r>
          </w:p>
          <w:p w:rsidR="00E705D9" w:rsidRDefault="00E705D9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Appliquer pratiquement l’usage des rayonnements : infrarouge, ultraviolet et rayon X</w:t>
            </w:r>
          </w:p>
          <w:p w:rsidR="00E705D9" w:rsidRPr="00062B22" w:rsidRDefault="00E705D9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A92244">
              <w:rPr>
                <w:rFonts w:asciiTheme="majorBidi" w:hAnsiTheme="majorBidi" w:cstheme="majorBidi"/>
                <w:lang w:val="fr-FR" w:eastAsia="fr-FR"/>
              </w:rPr>
              <w:t>Signaler les domaines d’application de la lumière laser</w:t>
            </w:r>
          </w:p>
        </w:tc>
      </w:tr>
    </w:tbl>
    <w:p w:rsidR="006E5165" w:rsidRDefault="006E5165" w:rsidP="006E5165">
      <w:pPr>
        <w:jc w:val="lowKashida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A92244" w:rsidRDefault="00A92244" w:rsidP="00A92244">
      <w:pPr>
        <w:spacing w:after="0" w:line="240" w:lineRule="auto"/>
        <w:ind w:right="232"/>
        <w:rPr>
          <w:rFonts w:ascii="Arial" w:hAnsi="Arial"/>
          <w:lang w:val="fr-FR" w:eastAsia="fr-FR"/>
        </w:rPr>
      </w:pPr>
    </w:p>
    <w:p w:rsidR="006E5165" w:rsidRPr="004C35BB" w:rsidRDefault="006E5165" w:rsidP="004C35B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813CA8" w:rsidRPr="004C35BB" w:rsidRDefault="00813CA8" w:rsidP="00813CA8">
      <w:pPr>
        <w:spacing w:after="0"/>
        <w:ind w:left="284" w:hanging="284"/>
        <w:jc w:val="center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813CA8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</w:t>
      </w: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Pr="004C35BB">
        <w:rPr>
          <w:rFonts w:asciiTheme="majorBidi" w:hAnsiTheme="majorBidi" w:cstheme="majorBidi"/>
          <w:sz w:val="28"/>
          <w:szCs w:val="28"/>
          <w:lang w:val="fr-FR"/>
        </w:rPr>
        <w:t>Radioactivité – réactions nucléaires provoqué – Danger</w:t>
      </w:r>
    </w:p>
    <w:p w:rsidR="006E5165" w:rsidRDefault="006E5165" w:rsidP="00E705D9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tbl>
      <w:tblPr>
        <w:tblStyle w:val="TableGrid"/>
        <w:tblpPr w:leftFromText="180" w:rightFromText="180" w:vertAnchor="page" w:horzAnchor="margin" w:tblpXSpec="center" w:tblpY="6602"/>
        <w:tblW w:w="14709" w:type="dxa"/>
        <w:tblLook w:val="04A0"/>
      </w:tblPr>
      <w:tblGrid>
        <w:gridCol w:w="4962"/>
        <w:gridCol w:w="4962"/>
        <w:gridCol w:w="4785"/>
      </w:tblGrid>
      <w:tr w:rsidR="00E705D9" w:rsidTr="00E705D9">
        <w:tc>
          <w:tcPr>
            <w:tcW w:w="4962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2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4785" w:type="dxa"/>
          </w:tcPr>
          <w:p w:rsidR="00E705D9" w:rsidRPr="00451F7B" w:rsidRDefault="00E705D9" w:rsidP="00E705D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705D9" w:rsidRPr="00535C54" w:rsidTr="00E705D9">
        <w:tc>
          <w:tcPr>
            <w:tcW w:w="4962" w:type="dxa"/>
          </w:tcPr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la radioactivité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Nommer  les types de radiation radioactive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demi-vie d’une substance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Citer les types des réactions nucléaires provoquées  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lastRenderedPageBreak/>
              <w:t xml:space="preserve">Enoncer la loi de conservation de nombre de masse et de charge électrique (loi de Soddy)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le défaut de masse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l’unité de mesure du rayonnement radioactif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Ecrire l’efficacité biologique et génétique relative de chaque rayonnement </w:t>
            </w:r>
          </w:p>
        </w:tc>
        <w:tc>
          <w:tcPr>
            <w:tcW w:w="4962" w:type="dxa"/>
          </w:tcPr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lastRenderedPageBreak/>
              <w:t xml:space="preserve">Identifier les types de radiation radioactive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Différencier entre radioactivité naturelle et provoqué 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Reconnaitre les réactions de fission et de fusion </w:t>
            </w:r>
          </w:p>
          <w:p w:rsidR="00E705D9" w:rsidRPr="00F75B82" w:rsidRDefault="00E705D9" w:rsidP="00E705D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Renoncer les effets biologique et génétique de </w:t>
            </w:r>
            <w:r w:rsidRPr="00F75B82">
              <w:rPr>
                <w:rFonts w:asciiTheme="majorBidi" w:hAnsiTheme="majorBidi" w:cstheme="majorBidi"/>
                <w:lang w:val="fr-FR"/>
              </w:rPr>
              <w:lastRenderedPageBreak/>
              <w:t xml:space="preserve">radiation radioactif </w:t>
            </w:r>
          </w:p>
        </w:tc>
        <w:tc>
          <w:tcPr>
            <w:tcW w:w="4785" w:type="dxa"/>
          </w:tcPr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lastRenderedPageBreak/>
              <w:t>Appliquer la loi de demi-vie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Déterminer  la demi-vie (période) à partir d’une courbe de désintégration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Réaliser l’équilibre de la réaction radioactive en se basant sur la loi de Soddy 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lastRenderedPageBreak/>
              <w:t xml:space="preserve">Relier l’énergie produite au défaut de masse </w:t>
            </w:r>
          </w:p>
          <w:p w:rsidR="00E705D9" w:rsidRPr="00F75B82" w:rsidRDefault="00E705D9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Donner des applications médicales </w:t>
            </w:r>
          </w:p>
        </w:tc>
      </w:tr>
    </w:tbl>
    <w:p w:rsidR="006E5165" w:rsidRDefault="006E5165" w:rsidP="004C35BB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A92244">
      <w:pPr>
        <w:tabs>
          <w:tab w:val="left" w:pos="5842"/>
        </w:tabs>
        <w:spacing w:after="0" w:line="240" w:lineRule="auto"/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6E5165">
      <w:pPr>
        <w:spacing w:after="0"/>
        <w:jc w:val="center"/>
        <w:rPr>
          <w:b/>
          <w:bCs/>
          <w:sz w:val="28"/>
          <w:szCs w:val="28"/>
          <w:lang w:val="fr-FR"/>
        </w:rPr>
      </w:pPr>
    </w:p>
    <w:p w:rsidR="006E5165" w:rsidRDefault="006E5165" w:rsidP="006E5165">
      <w:pPr>
        <w:rPr>
          <w:rFonts w:asciiTheme="majorHAnsi" w:hAnsiTheme="majorHAnsi"/>
          <w:sz w:val="32"/>
          <w:szCs w:val="32"/>
          <w:lang w:val="fr-FR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6E5165" w:rsidRDefault="006E5165" w:rsidP="006E5165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4C35BB" w:rsidRPr="004C35BB" w:rsidRDefault="004C35BB" w:rsidP="004C35B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6E5165" w:rsidRDefault="006E5165" w:rsidP="004C35BB">
      <w:pPr>
        <w:bidi/>
        <w:spacing w:after="0" w:line="240" w:lineRule="auto"/>
        <w:jc w:val="right"/>
        <w:rPr>
          <w:b/>
          <w:bCs/>
          <w:sz w:val="28"/>
          <w:szCs w:val="28"/>
          <w:lang w:val="fr-FR" w:bidi="ar-LB"/>
        </w:rPr>
      </w:pPr>
    </w:p>
    <w:p w:rsidR="006E5165" w:rsidRPr="001014BF" w:rsidRDefault="006E5165" w:rsidP="00A92244">
      <w:p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E705D9" w:rsidRDefault="00E705D9" w:rsidP="006E5165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E705D9" w:rsidRDefault="00E705D9" w:rsidP="00E705D9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E705D9" w:rsidRDefault="00E705D9" w:rsidP="00E705D9">
      <w:pPr>
        <w:bidi/>
        <w:spacing w:after="0" w:line="240" w:lineRule="auto"/>
        <w:jc w:val="center"/>
        <w:rPr>
          <w:b/>
          <w:bCs/>
          <w:sz w:val="28"/>
          <w:szCs w:val="28"/>
          <w:lang w:bidi="ar-LB"/>
        </w:rPr>
      </w:pPr>
    </w:p>
    <w:p w:rsidR="004C35BB" w:rsidRDefault="004C35BB" w:rsidP="006E5165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6E5165" w:rsidRDefault="006E5165" w:rsidP="00813CA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Chimie)</w:t>
      </w:r>
    </w:p>
    <w:p w:rsidR="00813CA8" w:rsidRDefault="00813CA8" w:rsidP="00813CA8">
      <w:pPr>
        <w:spacing w:after="0" w:line="240" w:lineRule="auto"/>
        <w:rPr>
          <w:rFonts w:asciiTheme="majorBidi" w:hAnsiTheme="majorBidi" w:cstheme="majorBidi"/>
          <w:sz w:val="20"/>
          <w:szCs w:val="20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hapitre 1 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: L’alimentation rationnelle et les aliments allégés</w:t>
      </w:r>
    </w:p>
    <w:tbl>
      <w:tblPr>
        <w:tblStyle w:val="TableGrid"/>
        <w:tblpPr w:leftFromText="180" w:rightFromText="180" w:vertAnchor="text" w:horzAnchor="margin" w:tblpXSpec="center" w:tblpY="163"/>
        <w:tblW w:w="15984" w:type="dxa"/>
        <w:tblLook w:val="04A0"/>
      </w:tblPr>
      <w:tblGrid>
        <w:gridCol w:w="5211"/>
        <w:gridCol w:w="5529"/>
        <w:gridCol w:w="5244"/>
      </w:tblGrid>
      <w:tr w:rsidR="00813CA8" w:rsidTr="001D1144">
        <w:tc>
          <w:tcPr>
            <w:tcW w:w="5211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813CA8" w:rsidRDefault="00813CA8" w:rsidP="001D114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813CA8" w:rsidRPr="00EA7226" w:rsidTr="001D1144">
        <w:tc>
          <w:tcPr>
            <w:tcW w:w="5211" w:type="dxa"/>
          </w:tcPr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énergie.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azote.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les limites des besoins nutritionnels.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Etablir la notion d’apports nutritionnels en : énergie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protéines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lipides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glucides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eaux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sels minéraux et vitamines.</w:t>
            </w:r>
          </w:p>
          <w:p w:rsidR="00813CA8" w:rsidRPr="00FB359F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ration alimentaire.</w:t>
            </w:r>
          </w:p>
        </w:tc>
        <w:tc>
          <w:tcPr>
            <w:tcW w:w="5529" w:type="dxa"/>
          </w:tcPr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Reproduire une ration alimentaire en :Lait,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Viandes,poissons, et œufs.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Féculents.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Légumes et fruits.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gras.</w:t>
            </w:r>
          </w:p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Sucre.</w:t>
            </w:r>
          </w:p>
          <w:p w:rsidR="00813CA8" w:rsidRPr="00690794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calculer la valeur énergétique des denrées alimentaires en kcal ou KJ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813CA8" w:rsidRPr="00690794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principaux substitues des matières organiques et du saccharose.</w:t>
            </w:r>
          </w:p>
          <w:p w:rsidR="00813CA8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termes diminués, allégés et réduites à la teneur en matières grasses : aux : -produits laitiers</w:t>
            </w:r>
          </w:p>
          <w:p w:rsidR="00813CA8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produits de charcuterie et de salaison</w:t>
            </w:r>
          </w:p>
          <w:p w:rsidR="00813CA8" w:rsidRPr="00690794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sauce à base d’huile.</w:t>
            </w:r>
          </w:p>
          <w:p w:rsidR="00813CA8" w:rsidRPr="001E3CD0" w:rsidRDefault="00813CA8" w:rsidP="001D1144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Et d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éterminer ses champs d’applications et les raisons de leurs utilisations.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813CA8" w:rsidRDefault="00813CA8" w:rsidP="00813CA8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813CA8" w:rsidRPr="00C65D0C" w:rsidRDefault="00813CA8" w:rsidP="00813CA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2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techniques de conservation des aliments</w:t>
      </w:r>
    </w:p>
    <w:tbl>
      <w:tblPr>
        <w:tblStyle w:val="TableGrid"/>
        <w:tblW w:w="15734" w:type="dxa"/>
        <w:tblInd w:w="250" w:type="dxa"/>
        <w:tblLook w:val="04A0"/>
      </w:tblPr>
      <w:tblGrid>
        <w:gridCol w:w="4961"/>
        <w:gridCol w:w="5529"/>
        <w:gridCol w:w="5244"/>
      </w:tblGrid>
      <w:tr w:rsidR="00813CA8" w:rsidTr="001D1144">
        <w:tc>
          <w:tcPr>
            <w:tcW w:w="4961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813CA8" w:rsidRPr="00797ACB" w:rsidRDefault="00813CA8" w:rsidP="001D114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813CA8" w:rsidRPr="00EA7226" w:rsidTr="001D1144">
        <w:tc>
          <w:tcPr>
            <w:tcW w:w="4961" w:type="dxa"/>
          </w:tcPr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différentes causes d’altération des aliments.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Enumérer les différents procédés physiques de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conservation. 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pasteurisation.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sens du terme stérilisation.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méthode d’appertisation.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Déduire les conséquences de l’appertisation sur la valeur nutritionnelle dues aliments.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529" w:type="dxa"/>
          </w:tcPr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Déterminer  les étapes de la congélation.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la congélation sur les aliments.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Montrer l’importance de l’entreposage sur les aliments congelés.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Présenter les réglementations qui concernent les produits congelés et surgelés.</w:t>
            </w:r>
          </w:p>
          <w:p w:rsidR="00813CA8" w:rsidRPr="001E3CD0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conservat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ion des aliments par la chaleur :</w:t>
            </w:r>
          </w:p>
          <w:p w:rsidR="00813CA8" w:rsidRPr="001E3CD0" w:rsidRDefault="00813CA8" w:rsidP="001D1144">
            <w:pPr>
              <w:pStyle w:val="ListParagraph"/>
              <w:tabs>
                <w:tab w:val="left" w:pos="284"/>
              </w:tabs>
              <w:ind w:left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 xml:space="preserve"> P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asteurisation et stérilisation </w:t>
            </w:r>
          </w:p>
          <w:p w:rsidR="00813CA8" w:rsidRDefault="00813CA8" w:rsidP="001D1144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 xml:space="preserve">Différencier entre 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térilisation et refroidissement.</w:t>
            </w:r>
          </w:p>
          <w:p w:rsidR="00813CA8" w:rsidRPr="00C85176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Contrôler lesc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onséquences de l’appertisation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de blanchiment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valeur nutritionnelle des aliments.</w:t>
            </w:r>
          </w:p>
          <w:p w:rsidR="00813CA8" w:rsidRDefault="00813CA8" w:rsidP="001D1144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Discuter les différences entre : réfrigération, congélation, surgélation, stérilisation, pasteurisation…</w:t>
            </w:r>
          </w:p>
        </w:tc>
      </w:tr>
    </w:tbl>
    <w:p w:rsidR="006E5165" w:rsidRDefault="00813CA8" w:rsidP="008A1C3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Chapitre-3-</w:t>
      </w:r>
      <w:r w:rsidR="006E5165" w:rsidRPr="008A1C38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nouveaux matériaux</w:t>
      </w:r>
    </w:p>
    <w:tbl>
      <w:tblPr>
        <w:tblStyle w:val="TableGrid"/>
        <w:tblW w:w="15734" w:type="dxa"/>
        <w:tblInd w:w="250" w:type="dxa"/>
        <w:tblLook w:val="04A0"/>
      </w:tblPr>
      <w:tblGrid>
        <w:gridCol w:w="4962"/>
        <w:gridCol w:w="5529"/>
        <w:gridCol w:w="5243"/>
      </w:tblGrid>
      <w:tr w:rsidR="006E5165" w:rsidTr="006E5165">
        <w:tc>
          <w:tcPr>
            <w:tcW w:w="4962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3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EA7226" w:rsidTr="006E5165">
        <w:tc>
          <w:tcPr>
            <w:tcW w:w="4962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matières plastiques.</w:t>
            </w:r>
          </w:p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matières plastiques suivant leurs natures.</w:t>
            </w:r>
          </w:p>
          <w:p w:rsidR="006E5165" w:rsidRPr="00FB359F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les méthodes d’obten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tion des polymères synthétiques</w:t>
            </w:r>
          </w:p>
        </w:tc>
        <w:tc>
          <w:tcPr>
            <w:tcW w:w="5529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domaines d’utilisation des thermoplastiques en fonction de leurs propriétés.</w:t>
            </w:r>
          </w:p>
          <w:p w:rsidR="006E5165" w:rsidRPr="00FB359F" w:rsidRDefault="006E5165" w:rsidP="0020662B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règles de conditionnement et la réglementation des matières plastiques en contact avec les aliments.</w:t>
            </w:r>
          </w:p>
        </w:tc>
        <w:tc>
          <w:tcPr>
            <w:tcW w:w="5243" w:type="dxa"/>
          </w:tcPr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matières plastiques.</w:t>
            </w:r>
          </w:p>
          <w:p w:rsidR="006E5165" w:rsidRPr="00913122" w:rsidRDefault="006E5165" w:rsidP="005411B4">
            <w:pPr>
              <w:numPr>
                <w:ilvl w:val="0"/>
                <w:numId w:val="38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l’utili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sation des matières plastiques en fonction de leurs propriétés spécifiques.</w:t>
            </w:r>
          </w:p>
        </w:tc>
      </w:tr>
    </w:tbl>
    <w:p w:rsidR="006E5165" w:rsidRDefault="00813CA8" w:rsidP="00813CA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</w:t>
      </w:r>
      <w:r w:rsidR="002F517F">
        <w:rPr>
          <w:rFonts w:asciiTheme="majorBidi" w:hAnsiTheme="majorBidi" w:cstheme="majorBidi"/>
          <w:b/>
          <w:bCs/>
          <w:sz w:val="24"/>
          <w:szCs w:val="24"/>
          <w:lang w:val="fr-FR"/>
        </w:rPr>
        <w:t>-4-</w:t>
      </w:r>
      <w:r w:rsidR="006E5165" w:rsidRPr="008A1C38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plantes et l’industrie chimique</w:t>
      </w:r>
    </w:p>
    <w:tbl>
      <w:tblPr>
        <w:tblStyle w:val="TableGrid"/>
        <w:tblW w:w="15735" w:type="dxa"/>
        <w:tblInd w:w="250" w:type="dxa"/>
        <w:tblLook w:val="04A0"/>
      </w:tblPr>
      <w:tblGrid>
        <w:gridCol w:w="4961"/>
        <w:gridCol w:w="5529"/>
        <w:gridCol w:w="5245"/>
      </w:tblGrid>
      <w:tr w:rsidR="006E5165" w:rsidTr="006E5165">
        <w:tc>
          <w:tcPr>
            <w:tcW w:w="4961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EA7226" w:rsidTr="006E5165">
        <w:tc>
          <w:tcPr>
            <w:tcW w:w="4961" w:type="dxa"/>
          </w:tcPr>
          <w:p w:rsidR="006E5165" w:rsidRDefault="006E5165" w:rsidP="0020662B">
            <w:pPr>
              <w:numPr>
                <w:ilvl w:val="0"/>
                <w:numId w:val="38"/>
              </w:numPr>
              <w:ind w:right="357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trois plantes alimentaires considérées comme aliments complets.</w:t>
            </w:r>
          </w:p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Citer quelques plantes dangereuses. </w:t>
            </w:r>
          </w:p>
          <w:p w:rsidR="006E5165" w:rsidRPr="00182B97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52EC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consommation du tabac à la présence de certaines maladies.</w:t>
            </w:r>
          </w:p>
        </w:tc>
        <w:tc>
          <w:tcPr>
            <w:tcW w:w="5529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relation entre le blé et la santé.</w:t>
            </w:r>
          </w:p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proofErr w:type="gramStart"/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que 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consommation du tabac à la présence de certaines maladies.</w:t>
            </w:r>
          </w:p>
          <w:p w:rsidR="006E5165" w:rsidRPr="00913122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5" w:type="dxa"/>
          </w:tcPr>
          <w:p w:rsidR="006E5165" w:rsidRPr="00913122" w:rsidRDefault="006E5165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plantes bonnes pour la santé et plantes dangereuses. </w:t>
            </w:r>
          </w:p>
          <w:p w:rsidR="006E5165" w:rsidRPr="00CD2830" w:rsidRDefault="006E5165" w:rsidP="005411B4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éducteur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 du risque cancéreux et a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méliore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fluidité du sang.</w:t>
            </w:r>
          </w:p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6E5165">
      <w:pPr>
        <w:jc w:val="right"/>
        <w:rPr>
          <w:lang w:val="fr-FR"/>
        </w:rPr>
      </w:pPr>
    </w:p>
    <w:p w:rsidR="008A1C38" w:rsidRDefault="008A1C38" w:rsidP="006E5165">
      <w:pPr>
        <w:jc w:val="right"/>
        <w:rPr>
          <w:lang w:val="fr-FR"/>
        </w:rPr>
      </w:pPr>
    </w:p>
    <w:sectPr w:rsidR="008A1C38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61E14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0C4E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4761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97E66"/>
    <w:rsid w:val="009A7236"/>
    <w:rsid w:val="009B2E22"/>
    <w:rsid w:val="009C6391"/>
    <w:rsid w:val="009E5797"/>
    <w:rsid w:val="009F5386"/>
    <w:rsid w:val="00A27175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226"/>
    <w:rsid w:val="00EA76A5"/>
    <w:rsid w:val="00EB4BA5"/>
    <w:rsid w:val="00EC456D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2020-10-27T09:09:00Z</dcterms:created>
  <dcterms:modified xsi:type="dcterms:W3CDTF">2020-11-02T10:52:00Z</dcterms:modified>
</cp:coreProperties>
</file>